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4" w:rsidRPr="00EB1934" w:rsidRDefault="00EB1934" w:rsidP="00EB19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b/>
          <w:bCs/>
          <w:lang w:eastAsia="ru-RU"/>
        </w:rPr>
        <w:t>Инструкция сотрудникам ОУ по действиям при обнаружении взрывоопасных предметов.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Совершая террористические акты с применением взрывных устройств террористы, как правило, размещают их в сумках, ящиках, свертках, пакетах, мусорных контейнерах, в автомобилях. Во всех случаях террористы стремятся убить как можно больше людей или нанести наибольший материальный ущерб. Поэтому они выбирают места и время взрывов в момент наибольшего скопления людей. В учебных корпусах учреждения наиболее вероятными местами закладки взрывоопасных предметов являются:</w:t>
      </w:r>
    </w:p>
    <w:p w:rsidR="00EB1934" w:rsidRPr="00EB1934" w:rsidRDefault="00EB1934" w:rsidP="00EB1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учебные аудитории для производства взрыва во время занятий;</w:t>
      </w:r>
    </w:p>
    <w:p w:rsidR="00EB1934" w:rsidRPr="00EB1934" w:rsidRDefault="00EB1934" w:rsidP="00EB1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столовые, буфеты - во время обеденного перерыва;</w:t>
      </w:r>
    </w:p>
    <w:p w:rsidR="00EB1934" w:rsidRPr="00EB1934" w:rsidRDefault="00EB1934" w:rsidP="00EB1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актовый зал - во время проведения массовых мероприятий;</w:t>
      </w:r>
    </w:p>
    <w:p w:rsidR="00EB1934" w:rsidRPr="00EB1934" w:rsidRDefault="00EB1934" w:rsidP="00EB1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гардероб - перед началом и после окончания занятий;</w:t>
      </w:r>
    </w:p>
    <w:p w:rsidR="00EB1934" w:rsidRPr="00EB1934" w:rsidRDefault="00EB1934" w:rsidP="00EB19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 улице перед выходом - перед началом и после окончания занятий.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29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Обнаружить наличие взрывоопасного предмета можно по следующим признакам: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бесхозные предметы или предметы не характерны для окружающей обстановки;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наличие в конструкции штатных боеприпасов (граната, мины, снаряд, тротиловая шашка и т.п.);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элементы, остатки материалов, не характерные для данного предмета или места его обнаружения;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признаки горения;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звук работы часового механизма, подозрительные звуки, щелчки, механическое жужжание, другие звуки;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запах горючих веществ;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характерный запах миндаля или другой необычный запах;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наличие у предмета устройства, напоминающего радиоантенну;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наличие на обнаруженном предмете проводов, веревок, изоленты;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натянутая проволока, шнур, веревка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Причинами, служащими поводом для опасения являются: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нахождение подозрительных лиц до обнаружения этого предмета;</w:t>
      </w:r>
    </w:p>
    <w:p w:rsidR="00EB1934" w:rsidRPr="00EB1934" w:rsidRDefault="00EB1934" w:rsidP="00EB19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угрозы лично, по телефону или в почтовых отправлениях.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48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В целях уменьшения вероятности появления взрывоопасных предметов на закрепленной территории и их своевременного обнаружения необходимо:</w:t>
      </w:r>
    </w:p>
    <w:p w:rsidR="00EB1934" w:rsidRPr="00EB1934" w:rsidRDefault="00EB1934" w:rsidP="00EB19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ежедневно обходить закрепленную территорию и осматривать ее на предмет своевременного выявления взрывных устройств или подозрительных предметов;</w:t>
      </w:r>
    </w:p>
    <w:p w:rsidR="00EB1934" w:rsidRPr="00EB1934" w:rsidRDefault="00EB1934" w:rsidP="00EB19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не допускать складирование строительных материалов, мусора на территории;</w:t>
      </w:r>
    </w:p>
    <w:p w:rsidR="00EB1934" w:rsidRPr="00EB1934" w:rsidRDefault="00EB1934" w:rsidP="00EB19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>назначать дежурных по учебным группам, которые должны осматривать аудитории за 10-15 минут до начала занятий по окончании занятий на предмет выявления в аудитории подозрительных предметов.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В случае обнаружения подозрительного предмета, похожего или имеющего признаки взрывного устройства, необходимо: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1.     Зафиксировать время и место обнаружения взрывоопасного предмета.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2.     Не трогать, не подходить, не передвигать обнаруженный подозрительный предмет! Не курить!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Категорически запрещается:</w:t>
      </w:r>
    </w:p>
    <w:p w:rsidR="00EB1934" w:rsidRPr="00EB1934" w:rsidRDefault="00EB1934" w:rsidP="00EB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наносить удары (ударять по корпусу, а также один боеприпас о другой);</w:t>
      </w:r>
    </w:p>
    <w:p w:rsidR="00EB1934" w:rsidRPr="00EB1934" w:rsidRDefault="00EB1934" w:rsidP="00EB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прикасаться, поднимать, переносить или перекатывать с места на место;</w:t>
      </w:r>
    </w:p>
    <w:p w:rsidR="00EB1934" w:rsidRPr="00EB1934" w:rsidRDefault="00EB1934" w:rsidP="00EB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закапывать в землю или бросать в водоем;</w:t>
      </w:r>
    </w:p>
    <w:p w:rsidR="00EB1934" w:rsidRPr="00EB1934" w:rsidRDefault="00EB1934" w:rsidP="00EB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предпринимать попытки и разборки или распиливанию;</w:t>
      </w:r>
    </w:p>
    <w:p w:rsidR="00EB1934" w:rsidRPr="00EB1934" w:rsidRDefault="00EB1934" w:rsidP="00EB19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бросать в костер или разводить огонь вблизи него:</w:t>
      </w:r>
    </w:p>
    <w:p w:rsidR="00EB1934" w:rsidRPr="00EB1934" w:rsidRDefault="00EB1934" w:rsidP="00EB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Times New Roman" w:eastAsia="Times New Roman" w:hAnsi="Times New Roman" w:cs="Times New Roman"/>
          <w:b/>
          <w:color w:val="FF0000"/>
          <w:lang w:eastAsia="ru-RU"/>
        </w:rPr>
        <w:t> 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3.     Запретить, кому бы то ни было 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4.     Незамедлительно сообщить об обнаружении подозрительного предмета работнику службы охраны.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5.     Сообщить о случившемся в правоохранительные органы:</w:t>
      </w:r>
    </w:p>
    <w:p w:rsidR="00EB1934" w:rsidRPr="00EB1934" w:rsidRDefault="00EB1934" w:rsidP="00EB19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Управление по ЧС и ПБ </w:t>
      </w:r>
    </w:p>
    <w:p w:rsidR="00EB1934" w:rsidRPr="00EB1934" w:rsidRDefault="00EB1934" w:rsidP="00EB19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дежурному УВД </w:t>
      </w:r>
    </w:p>
    <w:p w:rsidR="00EB1934" w:rsidRPr="00EB1934" w:rsidRDefault="00EB1934" w:rsidP="00EB19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дежурному ЕДДС</w:t>
      </w:r>
      <w:r w:rsidR="00937D0A">
        <w:rPr>
          <w:rFonts w:ascii="Verdana" w:eastAsia="Times New Roman" w:hAnsi="Verdana" w:cs="Times New Roman"/>
          <w:b/>
          <w:color w:val="FF0000"/>
          <w:lang w:eastAsia="ru-RU"/>
        </w:rPr>
        <w:t xml:space="preserve"> (дежурную службу администрации)</w:t>
      </w:r>
    </w:p>
    <w:p w:rsidR="00EB1934" w:rsidRPr="00EB1934" w:rsidRDefault="00EB1934" w:rsidP="00EB19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директору школы </w:t>
      </w:r>
    </w:p>
    <w:p w:rsidR="00EB1934" w:rsidRPr="00EB1934" w:rsidRDefault="00EB1934" w:rsidP="00EB19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заместителю директора школы по безопасности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6.     Освободить от людей опасную зону в радиусе не менее 100м. (приложение 1).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7.     Обеспечить охрану подозрительного предмета и опасной зоны силами сотрудников охранного предприятия и группы охраны общественного порядка формирования ГО.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 xml:space="preserve">8.     При охране подозрительного предмета расположить оцепление по возможности за </w:t>
      </w:r>
      <w:proofErr w:type="gramStart"/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предметами</w:t>
      </w:r>
      <w:proofErr w:type="gramEnd"/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 xml:space="preserve"> обеспечивающими защиту (угол здания, колонна, толстое дерево и т.п.) и вести наблюдение.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9.     Обеспечить 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МЧС, служб эксплуатации.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10.   Обеспечить присутствие лиц, обнаруживших находку, до прибытия оперативно-следственной группы и фиксацию их установочных данных.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11.   По прибытии представителей правоохранительных органов, указать место расположения подозрительного предмета, время и обстоятельство его обнаружения. Быть готовым описать внешний вид предмета, похожего на взрывное устройство.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12.   Далее действовать по указанию представителей правоохранительных органов.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EB1934">
        <w:rPr>
          <w:rFonts w:ascii="Verdana" w:eastAsia="Times New Roman" w:hAnsi="Verdana" w:cs="Times New Roman"/>
          <w:b/>
          <w:color w:val="FF0000"/>
          <w:lang w:eastAsia="ru-RU"/>
        </w:rPr>
        <w:t>13.   Получив указание руководителя ОУ или представителей правоохранительных органов, приступить к эвакуации людей согласно имеющемуся плану.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b/>
          <w:bCs/>
          <w:lang w:eastAsia="ru-RU"/>
        </w:rPr>
        <w:t>Категорически запрещается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lang w:eastAsia="ru-RU"/>
        </w:rPr>
        <w:t xml:space="preserve">Самостоятельно предпринимать какие либо действия </w:t>
      </w:r>
      <w:proofErr w:type="gramStart"/>
      <w:r w:rsidRPr="00EB1934">
        <w:rPr>
          <w:rFonts w:ascii="Verdana" w:eastAsia="Times New Roman" w:hAnsi="Verdana" w:cs="Times New Roman"/>
          <w:lang w:eastAsia="ru-RU"/>
        </w:rPr>
        <w:t>со</w:t>
      </w:r>
      <w:proofErr w:type="gramEnd"/>
      <w:r w:rsidRPr="00EB1934">
        <w:rPr>
          <w:rFonts w:ascii="Verdana" w:eastAsia="Times New Roman" w:hAnsi="Verdana" w:cs="Times New Roman"/>
          <w:lang w:eastAsia="ru-RU"/>
        </w:rPr>
        <w:t xml:space="preserve"> взрывными устройствами или подозрительными предметами - это может привести к взрыву, многочисленным жертвам и разрушениям!</w:t>
      </w:r>
    </w:p>
    <w:p w:rsidR="00EB1934" w:rsidRPr="00EB1934" w:rsidRDefault="00EB1934" w:rsidP="00EB1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Times New Roman" w:eastAsia="Times New Roman" w:hAnsi="Times New Roman" w:cs="Times New Roman"/>
          <w:lang w:eastAsia="ru-RU"/>
        </w:rPr>
        <w:t> </w:t>
      </w:r>
    </w:p>
    <w:p w:rsidR="00EB1934" w:rsidRPr="00EB1934" w:rsidRDefault="00EB1934" w:rsidP="00EB1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Times New Roman" w:eastAsia="Times New Roman" w:hAnsi="Times New Roman" w:cs="Times New Roman"/>
          <w:lang w:eastAsia="ru-RU"/>
        </w:rPr>
        <w:t> 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Verdana" w:eastAsia="Times New Roman" w:hAnsi="Verdana" w:cs="Times New Roman"/>
          <w:b/>
          <w:bCs/>
          <w:lang w:eastAsia="ru-RU"/>
        </w:rPr>
        <w:t>Приложение №1</w:t>
      </w:r>
    </w:p>
    <w:p w:rsidR="00EB1934" w:rsidRPr="00EB1934" w:rsidRDefault="00EB1934" w:rsidP="00EB193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EB1934">
        <w:rPr>
          <w:rFonts w:ascii="Verdana" w:eastAsia="Times New Roman" w:hAnsi="Verdana" w:cs="Times New Roman"/>
          <w:b/>
          <w:bCs/>
          <w:kern w:val="36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43"/>
        <w:jc w:val="both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690"/>
        <w:gridCol w:w="4440"/>
      </w:tblGrid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наименование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 xml:space="preserve">Зоны эвакуации и оцепления </w:t>
            </w:r>
            <w:proofErr w:type="spellStart"/>
            <w:r w:rsidRPr="00EB1934">
              <w:rPr>
                <w:rFonts w:ascii="Verdana" w:eastAsia="Times New Roman" w:hAnsi="Verdana" w:cs="Times New Roman"/>
                <w:lang w:eastAsia="ru-RU"/>
              </w:rPr>
              <w:t>меставероятного</w:t>
            </w:r>
            <w:proofErr w:type="spellEnd"/>
            <w:r w:rsidRPr="00EB1934">
              <w:rPr>
                <w:rFonts w:ascii="Verdana" w:eastAsia="Times New Roman" w:hAnsi="Verdana" w:cs="Times New Roman"/>
                <w:lang w:eastAsia="ru-RU"/>
              </w:rPr>
              <w:t xml:space="preserve"> взрыва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Граната РГД-5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не менее 50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Граната Ф-1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не менее 200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Тротиловая шашка массой 200 г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45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Тротиловая шашка массой 400 граммов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55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Пивная банка 0,33 литра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60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6.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МинаМОН-50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85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7.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Чемодан (кейс)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230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8.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Дорожный чемодан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350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9.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Автомобиль типа «Жигули»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460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10.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Автомобиль типа «Волга»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580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11.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Микроавтобус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920 метров</w:t>
            </w:r>
          </w:p>
        </w:tc>
      </w:tr>
      <w:tr w:rsidR="00EB1934" w:rsidRPr="00EB1934" w:rsidTr="00EB1934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12.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ind w:left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Грузовая автомашина (фургон)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934" w:rsidRPr="00EB1934" w:rsidRDefault="00EB1934" w:rsidP="00EB1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934">
              <w:rPr>
                <w:rFonts w:ascii="Verdana" w:eastAsia="Times New Roman" w:hAnsi="Verdana" w:cs="Times New Roman"/>
                <w:lang w:eastAsia="ru-RU"/>
              </w:rPr>
              <w:t>1240 метров</w:t>
            </w:r>
          </w:p>
        </w:tc>
      </w:tr>
    </w:tbl>
    <w:p w:rsidR="00EB1934" w:rsidRPr="00EB1934" w:rsidRDefault="00EB1934" w:rsidP="00EB1934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lang w:eastAsia="ru-RU"/>
        </w:rPr>
      </w:pPr>
      <w:r w:rsidRPr="00EB1934">
        <w:rPr>
          <w:rFonts w:ascii="Times New Roman" w:eastAsia="Times New Roman" w:hAnsi="Times New Roman" w:cs="Times New Roman"/>
          <w:lang w:eastAsia="ru-RU"/>
        </w:rPr>
        <w:t> </w:t>
      </w:r>
    </w:p>
    <w:p w:rsidR="00EB1934" w:rsidRPr="00EB1934" w:rsidRDefault="00EB1934" w:rsidP="00EB1934">
      <w:pPr>
        <w:spacing w:before="100" w:beforeAutospacing="1" w:after="100" w:afterAutospacing="1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9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595" w:rsidRDefault="00384595"/>
    <w:sectPr w:rsidR="003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AF3"/>
    <w:multiLevelType w:val="multilevel"/>
    <w:tmpl w:val="892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04C33"/>
    <w:multiLevelType w:val="multilevel"/>
    <w:tmpl w:val="1986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373CF"/>
    <w:multiLevelType w:val="multilevel"/>
    <w:tmpl w:val="504E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F03B0"/>
    <w:multiLevelType w:val="multilevel"/>
    <w:tmpl w:val="36D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1D"/>
    <w:multiLevelType w:val="multilevel"/>
    <w:tmpl w:val="479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93"/>
    <w:rsid w:val="00384595"/>
    <w:rsid w:val="00937D0A"/>
    <w:rsid w:val="00AB0E93"/>
    <w:rsid w:val="00E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Губилит Александр Филиппович (8-513-2W7 - gaf)</dc:creator>
  <cp:keywords/>
  <dc:description/>
  <cp:lastModifiedBy>Губилит Александр Филиппович (8-513-2W7 - gaf)</cp:lastModifiedBy>
  <cp:revision>4</cp:revision>
  <dcterms:created xsi:type="dcterms:W3CDTF">2015-11-20T06:58:00Z</dcterms:created>
  <dcterms:modified xsi:type="dcterms:W3CDTF">2015-11-20T07:04:00Z</dcterms:modified>
</cp:coreProperties>
</file>